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2ED" w:rsidRDefault="003562ED" w:rsidP="003562ED">
      <w:pPr>
        <w:rPr>
          <w:rStyle w:val="CharacterStyle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704850" cy="809625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2ED" w:rsidRDefault="003562ED" w:rsidP="003562ED">
      <w:pPr>
        <w:jc w:val="center"/>
        <w:rPr>
          <w:rFonts w:cs="Calibri"/>
          <w:b/>
          <w:color w:val="D47AE6"/>
          <w:sz w:val="40"/>
          <w:szCs w:val="40"/>
        </w:rPr>
      </w:pPr>
      <w:r>
        <w:rPr>
          <w:rFonts w:cs="Calibri"/>
          <w:b/>
          <w:color w:val="D47AE6"/>
          <w:sz w:val="40"/>
          <w:szCs w:val="40"/>
        </w:rPr>
        <w:t>Futura Collection Hotel Les Jumeaux</w:t>
      </w:r>
    </w:p>
    <w:p w:rsidR="003562ED" w:rsidRDefault="003562ED" w:rsidP="003562ED">
      <w:pPr>
        <w:jc w:val="center"/>
        <w:rPr>
          <w:rFonts w:cs="Calibri"/>
          <w:b/>
          <w:color w:val="D47AE6"/>
          <w:sz w:val="40"/>
          <w:szCs w:val="40"/>
        </w:rPr>
      </w:pPr>
    </w:p>
    <w:p w:rsidR="003562ED" w:rsidRDefault="003562ED" w:rsidP="003562ED">
      <w:pPr>
        <w:rPr>
          <w:rFonts w:cs="Calibri"/>
          <w:b/>
          <w:color w:val="D47AE6"/>
        </w:rPr>
      </w:pPr>
    </w:p>
    <w:p w:rsidR="003562ED" w:rsidRDefault="003562ED" w:rsidP="003562ED">
      <w:pPr>
        <w:rPr>
          <w:rFonts w:cs="Calibri"/>
          <w:b/>
          <w:color w:val="D47AE6"/>
        </w:rPr>
      </w:pPr>
    </w:p>
    <w:p w:rsidR="003562ED" w:rsidRPr="003562ED" w:rsidRDefault="003562ED" w:rsidP="003562ED">
      <w:pPr>
        <w:jc w:val="both"/>
        <w:rPr>
          <w:rFonts w:cs="Calibri"/>
        </w:rPr>
      </w:pPr>
      <w:r w:rsidRPr="003562ED">
        <w:rPr>
          <w:rFonts w:cs="Calibri"/>
          <w:b/>
        </w:rPr>
        <w:t>VALLE D'AOSTA - COURMAYEUR (AO)</w:t>
      </w:r>
      <w:r w:rsidRPr="003562ED">
        <w:rPr>
          <w:rFonts w:cs="Calibri"/>
          <w:b/>
        </w:rPr>
        <w:tab/>
      </w:r>
      <w:r w:rsidRPr="003562ED">
        <w:rPr>
          <w:rFonts w:cs="Calibri"/>
          <w:b/>
        </w:rPr>
        <w:tab/>
      </w:r>
      <w:r w:rsidRPr="003562ED">
        <w:rPr>
          <w:rFonts w:cs="Calibri"/>
          <w:b/>
        </w:rPr>
        <w:tab/>
      </w:r>
      <w:r w:rsidRPr="003562ED">
        <w:rPr>
          <w:rFonts w:cs="Calibri"/>
          <w:b/>
        </w:rPr>
        <w:tab/>
      </w:r>
      <w:r w:rsidRPr="003562ED">
        <w:rPr>
          <w:rFonts w:cs="Calibri"/>
          <w:b/>
        </w:rPr>
        <w:tab/>
      </w:r>
      <w:r w:rsidRPr="003562ED">
        <w:rPr>
          <w:rFonts w:cs="Calibri"/>
          <w:b/>
        </w:rPr>
        <w:tab/>
      </w:r>
      <w:r w:rsidRPr="003562ED">
        <w:rPr>
          <w:rFonts w:cs="Calibri"/>
          <w:b/>
        </w:rPr>
        <w:tab/>
      </w:r>
      <w:r w:rsidRPr="003562ED">
        <w:rPr>
          <w:rFonts w:cs="Calibri"/>
          <w:b/>
        </w:rPr>
        <w:tab/>
      </w:r>
      <w:r w:rsidRPr="003562ED">
        <w:rPr>
          <w:rFonts w:cs="Calibri"/>
          <w:b/>
        </w:rPr>
        <w:tab/>
      </w:r>
      <w:r w:rsidRPr="003562ED">
        <w:rPr>
          <w:rFonts w:cs="Calibri"/>
          <w:b/>
        </w:rPr>
        <w:tab/>
      </w:r>
    </w:p>
    <w:p w:rsidR="003562ED" w:rsidRDefault="003562ED" w:rsidP="003562ED">
      <w:pPr>
        <w:jc w:val="both"/>
        <w:rPr>
          <w:rFonts w:cs="Calibri"/>
        </w:rPr>
      </w:pPr>
      <w:r w:rsidRPr="003562ED">
        <w:rPr>
          <w:rFonts w:cs="Calibri"/>
        </w:rPr>
        <w:t>Struttura in stile valdostano, in prossimità degli impianti di risalita, si compone di un corpo centrale il "Combal" e di un corpo adiacente</w:t>
      </w:r>
      <w:r>
        <w:rPr>
          <w:rFonts w:cs="Calibri"/>
        </w:rPr>
        <w:t xml:space="preserve"> </w:t>
      </w:r>
      <w:r w:rsidRPr="003562ED">
        <w:rPr>
          <w:rFonts w:cs="Calibri"/>
        </w:rPr>
        <w:t>il "Miage" a 100 m ca. Oltre l'eccellenza dei servizi, vanta l'invidiabile posizione, in quella che, da sempre, è considerata tra le località pi</w:t>
      </w:r>
      <w:r>
        <w:rPr>
          <w:rFonts w:cs="Calibri"/>
        </w:rPr>
        <w:t xml:space="preserve">ù </w:t>
      </w:r>
      <w:r w:rsidRPr="003562ED">
        <w:rPr>
          <w:rFonts w:cs="Calibri"/>
        </w:rPr>
        <w:t>glamour del turismo alpino.</w:t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</w:p>
    <w:p w:rsidR="003562ED" w:rsidRPr="003562ED" w:rsidRDefault="003562ED" w:rsidP="003562ED">
      <w:pPr>
        <w:jc w:val="both"/>
        <w:rPr>
          <w:rFonts w:cs="Calibri"/>
        </w:rPr>
      </w:pPr>
    </w:p>
    <w:p w:rsidR="003562ED" w:rsidRPr="003562ED" w:rsidRDefault="003562ED" w:rsidP="003562ED">
      <w:pPr>
        <w:jc w:val="both"/>
        <w:rPr>
          <w:rFonts w:cs="Calibri"/>
          <w:b/>
          <w:color w:val="0070C0"/>
        </w:rPr>
      </w:pPr>
      <w:r w:rsidRPr="003562ED">
        <w:rPr>
          <w:rFonts w:cs="Calibri"/>
          <w:b/>
          <w:color w:val="0070C0"/>
        </w:rPr>
        <w:t>IMPIANTI DI RISALITA</w:t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</w:p>
    <w:p w:rsidR="003562ED" w:rsidRPr="003562ED" w:rsidRDefault="003562ED" w:rsidP="003562ED">
      <w:pPr>
        <w:jc w:val="both"/>
        <w:rPr>
          <w:rFonts w:cs="Calibri"/>
        </w:rPr>
      </w:pPr>
      <w:r w:rsidRPr="003562ED">
        <w:rPr>
          <w:rFonts w:cs="Calibri"/>
        </w:rPr>
        <w:t>A 100 m dalla funivia del Monte Bianco che collega alle piste del mont Blanc Courmayeur. Comprensorio Courmayeur-Mont Blanc.</w:t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</w:p>
    <w:p w:rsidR="003562ED" w:rsidRPr="003562ED" w:rsidRDefault="003562ED" w:rsidP="003562ED">
      <w:pPr>
        <w:jc w:val="both"/>
        <w:rPr>
          <w:rFonts w:cs="Calibri"/>
          <w:b/>
          <w:color w:val="0070C0"/>
        </w:rPr>
      </w:pPr>
      <w:r w:rsidRPr="003562ED">
        <w:rPr>
          <w:rFonts w:cs="Calibri"/>
          <w:b/>
          <w:color w:val="0070C0"/>
        </w:rPr>
        <w:t>SISTEMAZIONE</w:t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  <w:r w:rsidRPr="003562ED">
        <w:rPr>
          <w:rFonts w:cs="Calibri"/>
          <w:b/>
          <w:color w:val="0070C0"/>
        </w:rPr>
        <w:tab/>
      </w:r>
    </w:p>
    <w:p w:rsidR="003562ED" w:rsidRPr="003562ED" w:rsidRDefault="003562ED" w:rsidP="003562ED">
      <w:pPr>
        <w:jc w:val="both"/>
        <w:rPr>
          <w:rFonts w:cs="Calibri"/>
        </w:rPr>
      </w:pPr>
      <w:r w:rsidRPr="003562ED">
        <w:rPr>
          <w:rFonts w:cs="Calibri"/>
        </w:rPr>
        <w:t>43 camere presso il "Combal" e 42 presso il "Miage", tutte dotate di tv, telefono, minibar (consumazioni a pagamento), cassetta di sicurezza, balcone o terrazzo, servizi con asciugacapelli. 3°/4° letto in sofa bed.</w:t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</w:p>
    <w:p w:rsidR="003562ED" w:rsidRPr="003562ED" w:rsidRDefault="003562ED" w:rsidP="003562ED">
      <w:pPr>
        <w:jc w:val="both"/>
        <w:rPr>
          <w:rFonts w:cs="Calibri"/>
        </w:rPr>
      </w:pPr>
      <w:r w:rsidRPr="003562ED">
        <w:rPr>
          <w:rFonts w:cs="Calibri"/>
          <w:b/>
          <w:color w:val="0070C0"/>
        </w:rPr>
        <w:t>RISTORAZIONE</w:t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</w:p>
    <w:p w:rsidR="003562ED" w:rsidRPr="003562ED" w:rsidRDefault="003562ED" w:rsidP="003562ED">
      <w:pPr>
        <w:jc w:val="both"/>
        <w:rPr>
          <w:rFonts w:cs="Calibri"/>
        </w:rPr>
      </w:pPr>
      <w:r w:rsidRPr="003562ED">
        <w:rPr>
          <w:rFonts w:cs="Calibri"/>
        </w:rPr>
        <w:t>Prima colazione a buffet, cena con servizio al tavolo con specialità regionali e nazionali. Presso il "Combal" possibilità di pranzo à la carte con pagamento in loco.</w:t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</w:p>
    <w:p w:rsidR="003562ED" w:rsidRPr="003562ED" w:rsidRDefault="003562ED" w:rsidP="003562ED">
      <w:pPr>
        <w:jc w:val="both"/>
        <w:rPr>
          <w:rFonts w:cs="Calibri"/>
        </w:rPr>
      </w:pPr>
      <w:r w:rsidRPr="003562ED">
        <w:rPr>
          <w:rFonts w:cs="Calibri"/>
          <w:b/>
          <w:color w:val="0070C0"/>
        </w:rPr>
        <w:t>ATTIVITA' E SERVIZI</w:t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</w:p>
    <w:p w:rsidR="003562ED" w:rsidRDefault="003562ED" w:rsidP="003562ED">
      <w:pPr>
        <w:jc w:val="both"/>
        <w:rPr>
          <w:rFonts w:cs="Calibri"/>
        </w:rPr>
      </w:pPr>
      <w:r w:rsidRPr="003562ED">
        <w:rPr>
          <w:rFonts w:cs="Calibri"/>
        </w:rPr>
        <w:t>Presso il "Combal" ricevimento, wi-fi free, caffetteria e ristorante principale, presso il "Miage" sala colazioni. Le quote includono: presso il "Combal" piano bar, miniclub 4/10 anni ad orari stabiliti, deposito sci e scarponi.</w:t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</w:p>
    <w:p w:rsidR="003562ED" w:rsidRPr="003562ED" w:rsidRDefault="003562ED" w:rsidP="003562ED">
      <w:pPr>
        <w:jc w:val="both"/>
        <w:rPr>
          <w:rFonts w:cs="Calibri"/>
        </w:rPr>
      </w:pPr>
      <w:r w:rsidRPr="003562ED">
        <w:rPr>
          <w:rFonts w:cs="Calibri"/>
          <w:b/>
          <w:color w:val="0070C0"/>
        </w:rPr>
        <w:t>A PAGAMENTO</w:t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</w:p>
    <w:p w:rsidR="003562ED" w:rsidRPr="003562ED" w:rsidRDefault="003562ED" w:rsidP="003562ED">
      <w:pPr>
        <w:jc w:val="both"/>
        <w:rPr>
          <w:rFonts w:cs="Calibri"/>
        </w:rPr>
      </w:pPr>
      <w:r w:rsidRPr="003562ED">
        <w:rPr>
          <w:rFonts w:cs="Calibri"/>
        </w:rPr>
        <w:t>Servizio lavanderia, parcheggio scoperto e garage privato non custodito.</w:t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  <w:r w:rsidRPr="003562ED">
        <w:rPr>
          <w:rFonts w:cs="Calibri"/>
        </w:rPr>
        <w:tab/>
      </w:r>
    </w:p>
    <w:p w:rsidR="003562ED" w:rsidRPr="003562ED" w:rsidRDefault="003562ED" w:rsidP="003562ED">
      <w:pPr>
        <w:jc w:val="both"/>
        <w:rPr>
          <w:rFonts w:cs="Calibri"/>
          <w:b/>
        </w:rPr>
      </w:pPr>
      <w:r w:rsidRPr="003562ED">
        <w:rPr>
          <w:rFonts w:cs="Calibri"/>
          <w:b/>
          <w:color w:val="D47AE6"/>
        </w:rPr>
        <w:tab/>
      </w:r>
      <w:r w:rsidRPr="003562ED">
        <w:rPr>
          <w:rFonts w:cs="Calibri"/>
          <w:b/>
          <w:color w:val="D47AE6"/>
        </w:rPr>
        <w:tab/>
      </w:r>
      <w:r w:rsidRPr="003562ED">
        <w:rPr>
          <w:rFonts w:cs="Calibri"/>
          <w:b/>
          <w:color w:val="D47AE6"/>
        </w:rPr>
        <w:tab/>
      </w:r>
      <w:r w:rsidRPr="003562ED">
        <w:rPr>
          <w:rFonts w:cs="Calibri"/>
          <w:b/>
          <w:color w:val="D47AE6"/>
        </w:rPr>
        <w:tab/>
      </w:r>
      <w:r w:rsidRPr="003562ED">
        <w:rPr>
          <w:rFonts w:cs="Calibri"/>
          <w:b/>
          <w:color w:val="D47AE6"/>
        </w:rPr>
        <w:tab/>
      </w:r>
      <w:r w:rsidRPr="003562ED">
        <w:rPr>
          <w:rFonts w:cs="Calibri"/>
          <w:b/>
          <w:color w:val="D47AE6"/>
        </w:rPr>
        <w:tab/>
      </w:r>
      <w:r w:rsidRPr="003562ED">
        <w:rPr>
          <w:rFonts w:cs="Calibri"/>
          <w:b/>
          <w:color w:val="D47AE6"/>
        </w:rPr>
        <w:tab/>
      </w:r>
      <w:r w:rsidRPr="003562ED">
        <w:rPr>
          <w:rFonts w:cs="Calibri"/>
          <w:b/>
          <w:color w:val="D47AE6"/>
        </w:rPr>
        <w:tab/>
      </w:r>
      <w:r w:rsidRPr="003562ED">
        <w:rPr>
          <w:rFonts w:cs="Calibri"/>
          <w:b/>
          <w:color w:val="D47AE6"/>
        </w:rPr>
        <w:tab/>
      </w:r>
      <w:r w:rsidRPr="003562ED">
        <w:rPr>
          <w:rFonts w:cs="Calibri"/>
          <w:b/>
          <w:color w:val="D47AE6"/>
        </w:rPr>
        <w:tab/>
      </w:r>
      <w:r w:rsidRPr="003562ED">
        <w:rPr>
          <w:rFonts w:cs="Calibri"/>
          <w:b/>
          <w:color w:val="D47AE6"/>
        </w:rPr>
        <w:tab/>
      </w:r>
      <w:r w:rsidRPr="003562ED">
        <w:rPr>
          <w:rFonts w:cs="Calibri"/>
          <w:b/>
          <w:color w:val="D47AE6"/>
        </w:rPr>
        <w:tab/>
      </w:r>
    </w:p>
    <w:p w:rsidR="00AA7303" w:rsidRDefault="00AA7303" w:rsidP="003562ED">
      <w:pPr>
        <w:jc w:val="both"/>
        <w:rPr>
          <w:rStyle w:val="CharacterStyle1"/>
        </w:rPr>
      </w:pPr>
    </w:p>
    <w:p w:rsidR="003562ED" w:rsidRDefault="003562ED" w:rsidP="003562ED">
      <w:pPr>
        <w:jc w:val="both"/>
        <w:rPr>
          <w:rStyle w:val="CharacterStyle1"/>
        </w:rPr>
      </w:pPr>
    </w:p>
    <w:p w:rsidR="003562ED" w:rsidRDefault="003562ED" w:rsidP="003562ED">
      <w:pPr>
        <w:jc w:val="both"/>
        <w:rPr>
          <w:rStyle w:val="CharacterStyle1"/>
        </w:rPr>
      </w:pPr>
    </w:p>
    <w:p w:rsidR="003562ED" w:rsidRDefault="003562ED" w:rsidP="003562ED">
      <w:pPr>
        <w:jc w:val="both"/>
        <w:rPr>
          <w:rStyle w:val="CharacterStyle1"/>
        </w:rPr>
      </w:pPr>
    </w:p>
    <w:p w:rsidR="003562ED" w:rsidRDefault="003562ED" w:rsidP="003562ED">
      <w:pPr>
        <w:jc w:val="both"/>
        <w:rPr>
          <w:rStyle w:val="CharacterStyle1"/>
        </w:rPr>
      </w:pPr>
    </w:p>
    <w:p w:rsidR="003562ED" w:rsidRDefault="003562ED" w:rsidP="003562ED">
      <w:pPr>
        <w:jc w:val="both"/>
        <w:rPr>
          <w:rStyle w:val="CharacterStyle1"/>
        </w:rPr>
      </w:pPr>
    </w:p>
    <w:tbl>
      <w:tblPr>
        <w:tblW w:w="106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1436"/>
        <w:gridCol w:w="233"/>
        <w:gridCol w:w="954"/>
        <w:gridCol w:w="233"/>
        <w:gridCol w:w="1241"/>
        <w:gridCol w:w="1290"/>
        <w:gridCol w:w="233"/>
        <w:gridCol w:w="1536"/>
        <w:gridCol w:w="1744"/>
        <w:gridCol w:w="1401"/>
      </w:tblGrid>
      <w:tr w:rsidR="003562ED" w:rsidRPr="003562ED" w:rsidTr="003562ED">
        <w:trPr>
          <w:trHeight w:val="265"/>
        </w:trPr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PERIODI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FFFFFF"/>
              </w:rPr>
              <w:t>NOTTI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FFFFFF"/>
              </w:rPr>
              <w:t>SOLO SOGGIORNO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FFFFFF"/>
              </w:rPr>
              <w:t>RIDUZIONI SUL SOGGIORNO</w:t>
            </w:r>
          </w:p>
        </w:tc>
      </w:tr>
      <w:tr w:rsidR="003562ED" w:rsidRPr="003562ED" w:rsidTr="003562ED">
        <w:trPr>
          <w:trHeight w:val="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62ED" w:rsidRPr="003562ED" w:rsidTr="003562ED">
        <w:trPr>
          <w:trHeight w:val="2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Quota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562ED">
              <w:rPr>
                <w:rFonts w:ascii="Calibri" w:eastAsia="Times New Roman" w:hAnsi="Calibri" w:cs="Calibri"/>
                <w:color w:val="FF0000"/>
              </w:rPr>
              <w:t>Netta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62ED">
              <w:rPr>
                <w:rFonts w:ascii="Calibri" w:eastAsia="Times New Roman" w:hAnsi="Calibri" w:cs="Calibri"/>
              </w:rPr>
              <w:t xml:space="preserve">3°/4° letto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62ED">
              <w:rPr>
                <w:rFonts w:ascii="Calibri" w:eastAsia="Times New Roman" w:hAnsi="Calibri" w:cs="Calibri"/>
              </w:rPr>
              <w:t xml:space="preserve">3°/4° letto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62ED">
              <w:rPr>
                <w:rFonts w:ascii="Calibri" w:eastAsia="Times New Roman" w:hAnsi="Calibri" w:cs="Calibri"/>
              </w:rPr>
              <w:t xml:space="preserve">3°/4° letto </w:t>
            </w:r>
          </w:p>
        </w:tc>
      </w:tr>
      <w:tr w:rsidR="003562ED" w:rsidRPr="003562ED" w:rsidTr="003562ED">
        <w:trPr>
          <w:trHeight w:val="279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Base</w:t>
            </w: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62ED">
              <w:rPr>
                <w:rFonts w:ascii="Calibri" w:eastAsia="Times New Roman" w:hAnsi="Calibri" w:cs="Calibri"/>
              </w:rPr>
              <w:t>2/8 anni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62ED">
              <w:rPr>
                <w:rFonts w:ascii="Calibri" w:eastAsia="Times New Roman" w:hAnsi="Calibri" w:cs="Calibri"/>
              </w:rPr>
              <w:t>8/12 anni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 xml:space="preserve">adulti </w:t>
            </w:r>
          </w:p>
        </w:tc>
      </w:tr>
      <w:tr w:rsidR="003562ED" w:rsidRPr="003562ED" w:rsidTr="003562ED">
        <w:trPr>
          <w:trHeight w:val="265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04/12 - 08/12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562ED">
              <w:rPr>
                <w:rFonts w:ascii="Calibri" w:eastAsia="Times New Roman" w:hAnsi="Calibri" w:cs="Calibri"/>
                <w:color w:val="FF0000"/>
              </w:rPr>
              <w:t>324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3562ED" w:rsidRPr="003562ED" w:rsidTr="003562ED">
        <w:trPr>
          <w:trHeight w:val="265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08/12 - 23/12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562ED">
              <w:rPr>
                <w:rFonts w:ascii="Calibri" w:eastAsia="Times New Roman" w:hAnsi="Calibri" w:cs="Calibri"/>
                <w:color w:val="FF0000"/>
              </w:rPr>
              <w:t>55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Gratis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3562ED" w:rsidRPr="003562ED" w:rsidTr="003562ED">
        <w:trPr>
          <w:trHeight w:val="265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23/12 - 30/12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1.015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562ED">
              <w:rPr>
                <w:rFonts w:ascii="Calibri" w:eastAsia="Times New Roman" w:hAnsi="Calibri" w:cs="Calibri"/>
                <w:color w:val="FF0000"/>
              </w:rPr>
              <w:t>826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3562ED" w:rsidRPr="003562ED" w:rsidTr="003562ED">
        <w:trPr>
          <w:trHeight w:val="265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30/12 - 06/01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562ED">
              <w:rPr>
                <w:rFonts w:ascii="Calibri" w:eastAsia="Times New Roman" w:hAnsi="Calibri" w:cs="Calibri"/>
                <w:color w:val="FF0000"/>
              </w:rPr>
              <w:t>nd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3562ED" w:rsidRPr="003562ED" w:rsidTr="003562ED">
        <w:trPr>
          <w:trHeight w:val="265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06/01 - 16/01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562ED">
              <w:rPr>
                <w:rFonts w:ascii="Calibri" w:eastAsia="Times New Roman" w:hAnsi="Calibri" w:cs="Calibri"/>
                <w:color w:val="FF0000"/>
              </w:rPr>
              <w:t>61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3562ED" w:rsidRPr="003562ED" w:rsidTr="003562ED">
        <w:trPr>
          <w:trHeight w:val="265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16/01 - 30/01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562ED">
              <w:rPr>
                <w:rFonts w:ascii="Calibri" w:eastAsia="Times New Roman" w:hAnsi="Calibri" w:cs="Calibri"/>
                <w:color w:val="FF0000"/>
              </w:rPr>
              <w:t>525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3562ED" w:rsidRPr="003562ED" w:rsidTr="003562ED">
        <w:trPr>
          <w:trHeight w:val="265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30/01 - 13/02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840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562ED">
              <w:rPr>
                <w:rFonts w:ascii="Calibri" w:eastAsia="Times New Roman" w:hAnsi="Calibri" w:cs="Calibri"/>
                <w:color w:val="FF0000"/>
              </w:rPr>
              <w:t>574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3562ED" w:rsidRPr="003562ED" w:rsidTr="003562ED">
        <w:trPr>
          <w:trHeight w:val="265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13/02 - 27/02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562ED">
              <w:rPr>
                <w:rFonts w:ascii="Calibri" w:eastAsia="Times New Roman" w:hAnsi="Calibri" w:cs="Calibri"/>
                <w:color w:val="FF0000"/>
              </w:rPr>
              <w:t>826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3562ED" w:rsidRPr="003562ED" w:rsidTr="003562ED">
        <w:trPr>
          <w:trHeight w:val="265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27/02 - 13/03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840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562ED">
              <w:rPr>
                <w:rFonts w:ascii="Calibri" w:eastAsia="Times New Roman" w:hAnsi="Calibri" w:cs="Calibri"/>
                <w:color w:val="FF0000"/>
              </w:rPr>
              <w:t>574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3562ED" w:rsidRPr="003562ED" w:rsidTr="003562ED">
        <w:trPr>
          <w:trHeight w:val="239"/>
        </w:trPr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13/03 - 05/04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562ED">
              <w:rPr>
                <w:rFonts w:ascii="Calibri" w:eastAsia="Times New Roman" w:hAnsi="Calibri" w:cs="Calibri"/>
                <w:color w:val="FF0000"/>
              </w:rPr>
              <w:t>61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62ED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3562ED" w:rsidRPr="003562ED" w:rsidTr="003562ED">
        <w:trPr>
          <w:trHeight w:val="265"/>
        </w:trPr>
        <w:tc>
          <w:tcPr>
            <w:tcW w:w="106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ED" w:rsidRPr="003562ED" w:rsidRDefault="003562ED" w:rsidP="00356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2ED">
              <w:rPr>
                <w:rFonts w:ascii="Calibri" w:eastAsia="Times New Roman" w:hAnsi="Calibri" w:cs="Calibri"/>
                <w:b/>
                <w:bCs/>
                <w:color w:val="000000"/>
              </w:rPr>
              <w:t>FI 25 - Quote per persona in Mezza Pensione</w:t>
            </w:r>
          </w:p>
        </w:tc>
      </w:tr>
    </w:tbl>
    <w:p w:rsidR="003562ED" w:rsidRDefault="003562ED" w:rsidP="003562ED">
      <w:pPr>
        <w:jc w:val="both"/>
        <w:rPr>
          <w:rStyle w:val="CharacterStyle1"/>
        </w:rPr>
      </w:pPr>
    </w:p>
    <w:p w:rsidR="003562ED" w:rsidRPr="003562ED" w:rsidRDefault="003562ED" w:rsidP="003562ED">
      <w:pPr>
        <w:jc w:val="both"/>
        <w:rPr>
          <w:rStyle w:val="CharacterStyle1"/>
        </w:rPr>
      </w:pPr>
      <w:r w:rsidRPr="003562ED">
        <w:rPr>
          <w:rStyle w:val="CharacterStyle1"/>
          <w:b/>
        </w:rPr>
        <w:t>INIZIO/FINE SOGGIORNO:</w:t>
      </w:r>
      <w:r w:rsidRPr="003562ED">
        <w:rPr>
          <w:rStyle w:val="CharacterStyle1"/>
        </w:rPr>
        <w:t xml:space="preserve"> 16.00-20.00/10.00; fisso in A/C/D, libero in B, minimo 3 notti in E, sabato/sabato nei restanti periodi.</w:t>
      </w:r>
      <w:r>
        <w:rPr>
          <w:rStyle w:val="CharacterStyle1"/>
        </w:rPr>
        <w:t xml:space="preserve"> </w:t>
      </w:r>
      <w:r w:rsidRPr="003562ED">
        <w:rPr>
          <w:rStyle w:val="CharacterStyle1"/>
          <w:b/>
        </w:rPr>
        <w:t>SUPPLEMENTI:</w:t>
      </w:r>
      <w:r w:rsidRPr="003562ED">
        <w:rPr>
          <w:rStyle w:val="CharacterStyle1"/>
        </w:rPr>
        <w:t xml:space="preserve"> doppia uso singola 50% in B, 70% nei restanti periodi (non disponibile in D). </w:t>
      </w:r>
      <w:r w:rsidRPr="003562ED">
        <w:rPr>
          <w:rStyle w:val="CharacterStyle1"/>
          <w:b/>
        </w:rPr>
        <w:t>BABY 0/2 ANNI:</w:t>
      </w:r>
      <w:r w:rsidRPr="003562ED">
        <w:rPr>
          <w:rStyle w:val="CharacterStyle1"/>
        </w:rPr>
        <w:t xml:space="preserve"> gratuiti pasti da menu inclusi; culla su richiesta € 16 a notte da pagare in loco (accettata culla propria senza supplemento). </w:t>
      </w:r>
      <w:r w:rsidRPr="003562ED">
        <w:rPr>
          <w:rStyle w:val="CharacterStyle1"/>
          <w:b/>
        </w:rPr>
        <w:t>DA PAGARE IN LOCO:</w:t>
      </w:r>
      <w:r w:rsidRPr="003562ED">
        <w:rPr>
          <w:rStyle w:val="CharacterStyle1"/>
        </w:rPr>
        <w:t xml:space="preserve"> Cenone di Capodanno</w:t>
      </w:r>
      <w:r>
        <w:rPr>
          <w:rStyle w:val="CharacterStyle1"/>
        </w:rPr>
        <w:t xml:space="preserve"> </w:t>
      </w:r>
      <w:r w:rsidRPr="003562ED">
        <w:rPr>
          <w:rStyle w:val="CharacterStyle1"/>
        </w:rPr>
        <w:t>obbligatorio (bevande escluse), per persona, adulti € 100, bambini 2/12 anni € 50, 0/2 anni gratuiti; tassa di soggiorno obbligatoria secondo</w:t>
      </w:r>
      <w:r>
        <w:rPr>
          <w:rStyle w:val="CharacterStyle1"/>
        </w:rPr>
        <w:t xml:space="preserve"> </w:t>
      </w:r>
      <w:r w:rsidRPr="003562ED">
        <w:rPr>
          <w:rStyle w:val="CharacterStyle1"/>
        </w:rPr>
        <w:t xml:space="preserve">ordinanza comunale; parcheggio scoperto/garage coperto € 15 a notte (salvo disponibilità in loco). </w:t>
      </w:r>
      <w:r w:rsidRPr="003562ED">
        <w:rPr>
          <w:rStyle w:val="CharacterStyle1"/>
          <w:b/>
        </w:rPr>
        <w:t>NOTE:</w:t>
      </w:r>
      <w:r w:rsidRPr="003562ED">
        <w:rPr>
          <w:rStyle w:val="CharacterStyle1"/>
        </w:rPr>
        <w:t xml:space="preserve"> l'assegnazione delle camere in uno dei 2 edifici è a completa discrezione della Direzione della struttura.</w:t>
      </w:r>
      <w:r>
        <w:rPr>
          <w:rStyle w:val="CharacterStyle1"/>
        </w:rPr>
        <w:t xml:space="preserve"> </w:t>
      </w:r>
      <w:bookmarkStart w:id="0" w:name="_GoBack"/>
      <w:r w:rsidRPr="003562ED">
        <w:rPr>
          <w:rStyle w:val="CharacterStyle1"/>
          <w:b/>
        </w:rPr>
        <w:t>ANIMALI:</w:t>
      </w:r>
      <w:r w:rsidRPr="003562ED">
        <w:rPr>
          <w:rStyle w:val="CharacterStyle1"/>
        </w:rPr>
        <w:t xml:space="preserve"> </w:t>
      </w:r>
      <w:bookmarkEnd w:id="0"/>
      <w:r w:rsidRPr="003562ED">
        <w:rPr>
          <w:rStyle w:val="CharacterStyle1"/>
        </w:rPr>
        <w:t>ammessi di piccola taglia (escluso aree comuni), da segnalare alla prenotazione, € 16 a notte da pagare in loco.</w:t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</w:p>
    <w:p w:rsidR="003562ED" w:rsidRPr="003562ED" w:rsidRDefault="003562ED" w:rsidP="003562ED">
      <w:pPr>
        <w:jc w:val="both"/>
        <w:rPr>
          <w:rStyle w:val="CharacterStyle1"/>
          <w:b/>
          <w:color w:val="0070C0"/>
        </w:rPr>
      </w:pPr>
      <w:r w:rsidRPr="003562ED">
        <w:rPr>
          <w:rStyle w:val="CharacterStyle1"/>
          <w:b/>
          <w:color w:val="0070C0"/>
        </w:rPr>
        <w:t>OFFERTE SPECIALI</w:t>
      </w:r>
      <w:r w:rsidRPr="003562ED">
        <w:rPr>
          <w:rStyle w:val="CharacterStyle1"/>
          <w:b/>
          <w:color w:val="0070C0"/>
        </w:rPr>
        <w:tab/>
      </w:r>
      <w:r w:rsidRPr="003562ED">
        <w:rPr>
          <w:rStyle w:val="CharacterStyle1"/>
          <w:b/>
          <w:color w:val="0070C0"/>
        </w:rPr>
        <w:tab/>
      </w:r>
      <w:r w:rsidRPr="003562ED">
        <w:rPr>
          <w:rStyle w:val="CharacterStyle1"/>
          <w:b/>
          <w:color w:val="0070C0"/>
        </w:rPr>
        <w:tab/>
      </w:r>
      <w:r w:rsidRPr="003562ED">
        <w:rPr>
          <w:rStyle w:val="CharacterStyle1"/>
          <w:b/>
          <w:color w:val="0070C0"/>
        </w:rPr>
        <w:tab/>
      </w:r>
      <w:r w:rsidRPr="003562ED">
        <w:rPr>
          <w:rStyle w:val="CharacterStyle1"/>
          <w:b/>
          <w:color w:val="0070C0"/>
        </w:rPr>
        <w:tab/>
      </w:r>
      <w:r w:rsidRPr="003562ED">
        <w:rPr>
          <w:rStyle w:val="CharacterStyle1"/>
          <w:b/>
          <w:color w:val="0070C0"/>
        </w:rPr>
        <w:tab/>
      </w:r>
      <w:r w:rsidRPr="003562ED">
        <w:rPr>
          <w:rStyle w:val="CharacterStyle1"/>
          <w:b/>
          <w:color w:val="0070C0"/>
        </w:rPr>
        <w:tab/>
      </w:r>
      <w:r w:rsidRPr="003562ED">
        <w:rPr>
          <w:rStyle w:val="CharacterStyle1"/>
          <w:b/>
          <w:color w:val="0070C0"/>
        </w:rPr>
        <w:tab/>
      </w:r>
      <w:r w:rsidRPr="003562ED">
        <w:rPr>
          <w:rStyle w:val="CharacterStyle1"/>
          <w:b/>
          <w:color w:val="0070C0"/>
        </w:rPr>
        <w:tab/>
      </w:r>
      <w:r w:rsidRPr="003562ED">
        <w:rPr>
          <w:rStyle w:val="CharacterStyle1"/>
          <w:b/>
          <w:color w:val="0070C0"/>
        </w:rPr>
        <w:tab/>
      </w:r>
    </w:p>
    <w:p w:rsidR="003562ED" w:rsidRPr="003562ED" w:rsidRDefault="003562ED" w:rsidP="003562ED">
      <w:pPr>
        <w:jc w:val="both"/>
        <w:rPr>
          <w:rStyle w:val="CharacterStyle1"/>
        </w:rPr>
      </w:pPr>
      <w:r w:rsidRPr="003562ED">
        <w:rPr>
          <w:rStyle w:val="CharacterStyle1"/>
          <w:b/>
        </w:rPr>
        <w:t>BAMBINO GRATIS:</w:t>
      </w:r>
      <w:r w:rsidRPr="003562ED">
        <w:rPr>
          <w:rStyle w:val="CharacterStyle1"/>
        </w:rPr>
        <w:t xml:space="preserve"> 1 o 2 bambini 2/8 anni gratuiti in camera con 2 adulti in B.</w:t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  <w:r w:rsidRPr="003562ED">
        <w:rPr>
          <w:rStyle w:val="CharacterStyle1"/>
        </w:rPr>
        <w:tab/>
      </w:r>
    </w:p>
    <w:sectPr w:rsidR="003562ED" w:rsidRPr="003562ED">
      <w:pgSz w:w="13039" w:h="16157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SAlber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29"/>
    <w:rsid w:val="003562ED"/>
    <w:rsid w:val="00A96329"/>
    <w:rsid w:val="00A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43CE56"/>
  <w14:defaultImageDpi w14:val="0"/>
  <w15:docId w15:val="{2D714442-475E-41EE-A30B-C4A4E330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localitastruttura">
    <w:name w:val="localita (struttura)"/>
    <w:basedOn w:val="NoParagraphStyle"/>
    <w:uiPriority w:val="99"/>
    <w:rPr>
      <w:rFonts w:ascii="Gotham-Bold" w:hAnsi="Gotham-Bold" w:cs="Gotham-Bold"/>
      <w:b/>
      <w:bCs/>
      <w:caps/>
      <w:spacing w:val="10"/>
      <w:sz w:val="20"/>
      <w:szCs w:val="20"/>
    </w:rPr>
  </w:style>
  <w:style w:type="paragraph" w:customStyle="1" w:styleId="nomestruttura">
    <w:name w:val="nome (struttura)"/>
    <w:basedOn w:val="NoParagraphStyle"/>
    <w:uiPriority w:val="99"/>
    <w:pPr>
      <w:suppressAutoHyphens/>
      <w:spacing w:before="125" w:line="480" w:lineRule="atLeast"/>
    </w:pPr>
    <w:rPr>
      <w:rFonts w:ascii="Gotham-Bold" w:hAnsi="Gotham-Bold" w:cs="Gotham-Bold"/>
      <w:b/>
      <w:bCs/>
      <w:color w:val="32AAFF"/>
      <w:spacing w:val="-25"/>
      <w:w w:val="90"/>
      <w:sz w:val="50"/>
      <w:szCs w:val="50"/>
    </w:rPr>
  </w:style>
  <w:style w:type="paragraph" w:customStyle="1" w:styleId="introduzionestruttura">
    <w:name w:val="introduzione (struttura)"/>
    <w:basedOn w:val="NoParagraphStyle"/>
    <w:uiPriority w:val="99"/>
    <w:pPr>
      <w:spacing w:line="176" w:lineRule="atLeast"/>
      <w:jc w:val="both"/>
    </w:pPr>
    <w:rPr>
      <w:rFonts w:ascii="Gotham-Book" w:hAnsi="Gotham-Book" w:cs="Gotham-Book"/>
      <w:sz w:val="14"/>
      <w:szCs w:val="14"/>
    </w:rPr>
  </w:style>
  <w:style w:type="paragraph" w:customStyle="1" w:styleId="titolostruttura">
    <w:name w:val="titolo (struttura)"/>
    <w:basedOn w:val="NoParagraphStyle"/>
    <w:uiPriority w:val="99"/>
    <w:pPr>
      <w:spacing w:before="210" w:line="176" w:lineRule="atLeast"/>
      <w:jc w:val="both"/>
    </w:pPr>
    <w:rPr>
      <w:rFonts w:ascii="Gotham-Bold" w:hAnsi="Gotham-Bold" w:cs="Gotham-Bold"/>
      <w:b/>
      <w:bCs/>
      <w:caps/>
      <w:color w:val="32AAFF"/>
      <w:sz w:val="16"/>
      <w:szCs w:val="16"/>
    </w:rPr>
  </w:style>
  <w:style w:type="paragraph" w:customStyle="1" w:styleId="testostruttura">
    <w:name w:val="testo (struttura)"/>
    <w:basedOn w:val="NoParagraphStyle"/>
    <w:uiPriority w:val="99"/>
    <w:pPr>
      <w:spacing w:line="176" w:lineRule="atLeast"/>
      <w:jc w:val="both"/>
    </w:pPr>
    <w:rPr>
      <w:rFonts w:ascii="Gotham-Book" w:hAnsi="Gotham-Book" w:cs="Gotham-Book"/>
      <w:sz w:val="14"/>
      <w:szCs w:val="14"/>
    </w:rPr>
  </w:style>
  <w:style w:type="paragraph" w:customStyle="1" w:styleId="trattamentotabella">
    <w:name w:val="trattamento (tabella)"/>
    <w:basedOn w:val="NoParagraphStyle"/>
    <w:uiPriority w:val="99"/>
    <w:pPr>
      <w:spacing w:before="31"/>
    </w:pPr>
    <w:rPr>
      <w:rFonts w:ascii="Gotham-Bold" w:hAnsi="Gotham-Bold" w:cs="Gotham-Bold"/>
      <w:b/>
      <w:bCs/>
      <w:sz w:val="12"/>
      <w:szCs w:val="12"/>
    </w:rPr>
  </w:style>
  <w:style w:type="paragraph" w:customStyle="1" w:styleId="agganciotabella">
    <w:name w:val="aggancio (tabella)"/>
    <w:basedOn w:val="trattamentotabella"/>
    <w:uiPriority w:val="99"/>
    <w:pPr>
      <w:keepLines/>
      <w:spacing w:before="170"/>
    </w:pPr>
    <w:rPr>
      <w:rFonts w:ascii="Gotham-Book" w:hAnsi="Gotham-Book" w:cs="Gotham-Book"/>
    </w:rPr>
  </w:style>
  <w:style w:type="paragraph" w:customStyle="1" w:styleId="testosottotabella">
    <w:name w:val="testo (sottotabella)"/>
    <w:basedOn w:val="NoParagraphStyle"/>
    <w:uiPriority w:val="99"/>
    <w:pPr>
      <w:spacing w:line="144" w:lineRule="atLeast"/>
      <w:jc w:val="both"/>
    </w:pPr>
    <w:rPr>
      <w:rFonts w:ascii="Gotham-Light" w:hAnsi="Gotham-Light" w:cs="Gotham-Light"/>
      <w:sz w:val="12"/>
      <w:szCs w:val="12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titoloofferte">
    <w:name w:val="titolo (offerte)"/>
    <w:basedOn w:val="BasicParagraph"/>
    <w:uiPriority w:val="99"/>
    <w:pPr>
      <w:tabs>
        <w:tab w:val="left" w:pos="1417"/>
      </w:tabs>
      <w:spacing w:line="560" w:lineRule="atLeast"/>
    </w:pPr>
    <w:rPr>
      <w:rFonts w:ascii="Gotham-Bold" w:hAnsi="Gotham-Bold" w:cs="Gotham-Bold"/>
      <w:b/>
      <w:bCs/>
      <w:caps/>
      <w:color w:val="32AAFF"/>
      <w:sz w:val="22"/>
      <w:szCs w:val="22"/>
    </w:rPr>
  </w:style>
  <w:style w:type="paragraph" w:customStyle="1" w:styleId="testoofferte">
    <w:name w:val="testo (offerte)"/>
    <w:basedOn w:val="NoParagraphStyle"/>
    <w:uiPriority w:val="99"/>
    <w:pPr>
      <w:jc w:val="both"/>
    </w:pPr>
    <w:rPr>
      <w:rFonts w:ascii="Gotham-Book" w:hAnsi="Gotham-Book" w:cs="Gotham-Book"/>
      <w:sz w:val="13"/>
      <w:szCs w:val="13"/>
    </w:rPr>
  </w:style>
  <w:style w:type="paragraph" w:customStyle="1" w:styleId="cumulabiliofferte">
    <w:name w:val="cumulabili (offerte)"/>
    <w:basedOn w:val="testoofferte"/>
    <w:uiPriority w:val="99"/>
    <w:pPr>
      <w:spacing w:after="85"/>
      <w:ind w:left="641"/>
    </w:pPr>
    <w:rPr>
      <w:color w:val="32AAFF"/>
    </w:rPr>
  </w:style>
  <w:style w:type="paragraph" w:customStyle="1" w:styleId="titolettoofferte">
    <w:name w:val="titoletto (offerte)"/>
    <w:basedOn w:val="testoofferte"/>
    <w:uiPriority w:val="99"/>
    <w:pPr>
      <w:spacing w:before="62"/>
    </w:pPr>
    <w:rPr>
      <w:rFonts w:ascii="Gotham-Bold" w:hAnsi="Gotham-Bold" w:cs="Gotham-Bold"/>
      <w:b/>
      <w:bCs/>
      <w:caps/>
      <w:color w:val="32AAFF"/>
    </w:rPr>
  </w:style>
  <w:style w:type="paragraph" w:customStyle="1" w:styleId="testatinaCodicetabella">
    <w:name w:val="testatinaCodice (tabella)"/>
    <w:basedOn w:val="NoParagraphStyle"/>
    <w:uiPriority w:val="99"/>
    <w:pPr>
      <w:suppressAutoHyphens/>
    </w:pPr>
    <w:rPr>
      <w:rFonts w:ascii="Gotham-Bold" w:hAnsi="Gotham-Bold" w:cs="Gotham-Bold"/>
      <w:b/>
      <w:bCs/>
      <w:color w:val="FFFFFF"/>
      <w:sz w:val="13"/>
      <w:szCs w:val="13"/>
    </w:rPr>
  </w:style>
  <w:style w:type="paragraph" w:customStyle="1" w:styleId="testatinatabella">
    <w:name w:val="testatina (tabella)"/>
    <w:basedOn w:val="NoParagraphStyle"/>
    <w:uiPriority w:val="99"/>
    <w:pPr>
      <w:suppressAutoHyphens/>
      <w:jc w:val="center"/>
    </w:pPr>
    <w:rPr>
      <w:rFonts w:ascii="Gotham-Book" w:hAnsi="Gotham-Book" w:cs="Gotham-Book"/>
      <w:color w:val="262626"/>
      <w:sz w:val="13"/>
      <w:szCs w:val="13"/>
    </w:rPr>
  </w:style>
  <w:style w:type="paragraph" w:customStyle="1" w:styleId="testatinaFilettotabella">
    <w:name w:val="testatinaFiletto (tabella)"/>
    <w:basedOn w:val="testatinatabella"/>
    <w:uiPriority w:val="99"/>
    <w:rPr>
      <w:rFonts w:ascii="Gotham-Bold" w:hAnsi="Gotham-Bold" w:cs="Gotham-Bold"/>
      <w:b/>
      <w:bCs/>
      <w:caps/>
      <w:color w:val="FFFFFF"/>
    </w:rPr>
  </w:style>
  <w:style w:type="paragraph" w:customStyle="1" w:styleId="testatinaPeriodotabella">
    <w:name w:val="testatinaPeriodo (tabella)"/>
    <w:basedOn w:val="testatinatabella"/>
    <w:uiPriority w:val="99"/>
    <w:pPr>
      <w:jc w:val="left"/>
    </w:pPr>
  </w:style>
  <w:style w:type="paragraph" w:customStyle="1" w:styleId="testatinaBestSmarttabella">
    <w:name w:val="testatinaBestSmart (tabella)"/>
    <w:basedOn w:val="testatinatabella"/>
    <w:uiPriority w:val="99"/>
    <w:rPr>
      <w:color w:val="32AAFF"/>
    </w:rPr>
  </w:style>
  <w:style w:type="paragraph" w:customStyle="1" w:styleId="bodySiglatabella">
    <w:name w:val="bodySigla (tabella)"/>
    <w:basedOn w:val="NoParagraphStyle"/>
    <w:uiPriority w:val="99"/>
    <w:rPr>
      <w:rFonts w:ascii="Gotham-Bold" w:hAnsi="Gotham-Bold" w:cs="Gotham-Bold"/>
      <w:b/>
      <w:bCs/>
      <w:sz w:val="13"/>
      <w:szCs w:val="13"/>
    </w:rPr>
  </w:style>
  <w:style w:type="paragraph" w:customStyle="1" w:styleId="bodyPeriodotabella">
    <w:name w:val="bodyPeriodo (tabella)"/>
    <w:basedOn w:val="NoParagraphStyle"/>
    <w:uiPriority w:val="99"/>
    <w:rPr>
      <w:rFonts w:ascii="FSAlbert-Regular" w:hAnsi="FSAlbert-Regular" w:cs="FSAlbert-Regular"/>
      <w:color w:val="262626"/>
      <w:sz w:val="13"/>
      <w:szCs w:val="13"/>
    </w:rPr>
  </w:style>
  <w:style w:type="paragraph" w:customStyle="1" w:styleId="bodyTrattamentotabella">
    <w:name w:val="bodyTrattamento (tabella)"/>
    <w:basedOn w:val="NoParagraphStyle"/>
    <w:uiPriority w:val="99"/>
    <w:pPr>
      <w:jc w:val="center"/>
    </w:pPr>
    <w:rPr>
      <w:rFonts w:ascii="FSAlbert-Regular" w:hAnsi="FSAlbert-Regular" w:cs="FSAlbert-Regular"/>
      <w:color w:val="262626"/>
      <w:sz w:val="13"/>
      <w:szCs w:val="13"/>
    </w:rPr>
  </w:style>
  <w:style w:type="paragraph" w:customStyle="1" w:styleId="bodyTrattamentoBestSmarttabella">
    <w:name w:val="bodyTrattamentoBestSmart (tabella)"/>
    <w:basedOn w:val="bodyTrattamentotabella"/>
    <w:uiPriority w:val="99"/>
    <w:rPr>
      <w:color w:val="32AAFF"/>
    </w:rPr>
  </w:style>
  <w:style w:type="paragraph" w:customStyle="1" w:styleId="bodyRiduzionetabella">
    <w:name w:val="bodyRiduzione (tabella)"/>
    <w:basedOn w:val="bodyTrattamentotabella"/>
    <w:uiPriority w:val="99"/>
  </w:style>
  <w:style w:type="character" w:customStyle="1" w:styleId="CharacterStyle1">
    <w:name w:val="Character Style 1"/>
    <w:uiPriority w:val="99"/>
  </w:style>
  <w:style w:type="character" w:customStyle="1" w:styleId="sottotabellaTitolo">
    <w:name w:val="sottotabellaTitolo"/>
    <w:uiPriority w:val="99"/>
    <w:rPr>
      <w:rFonts w:ascii="Gotham-Bold" w:hAnsi="Gotham-Bold"/>
      <w:b/>
      <w:caps/>
      <w:color w:val="000000"/>
      <w:u w:val="none"/>
    </w:rPr>
  </w:style>
  <w:style w:type="character" w:customStyle="1" w:styleId="testatinaAnni">
    <w:name w:val="testatinaAnni"/>
    <w:uiPriority w:val="99"/>
    <w:rPr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CA04A49C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Bandini</dc:creator>
  <cp:keywords/>
  <dc:description/>
  <cp:lastModifiedBy>Alessia Paternesi</cp:lastModifiedBy>
  <cp:revision>2</cp:revision>
  <dcterms:created xsi:type="dcterms:W3CDTF">2020-10-23T09:57:00Z</dcterms:created>
  <dcterms:modified xsi:type="dcterms:W3CDTF">2020-10-23T09:57:00Z</dcterms:modified>
</cp:coreProperties>
</file>